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1AF3" w:rsidRPr="00A81AF3" w:rsidRDefault="00A81AF3" w:rsidP="00D57758">
      <w:pPr>
        <w:jc w:val="center"/>
        <w:rPr>
          <w:rFonts w:cs="ＭＳ ゴシック"/>
          <w:bCs/>
          <w:spacing w:val="4"/>
          <w:sz w:val="40"/>
          <w:szCs w:val="40"/>
        </w:rPr>
      </w:pPr>
      <w:r w:rsidRPr="00D57758">
        <w:rPr>
          <w:rFonts w:cs="ＭＳ ゴシック" w:hint="eastAsia"/>
          <w:bCs/>
          <w:noProof/>
          <w:spacing w:val="4"/>
          <w:sz w:val="36"/>
          <w:szCs w:val="36"/>
        </w:rPr>
        <mc:AlternateContent>
          <mc:Choice Requires="wps">
            <w:drawing>
              <wp:anchor distT="0" distB="0" distL="114300" distR="114300" simplePos="0" relativeHeight="251659264" behindDoc="0" locked="0" layoutInCell="1" allowOverlap="1">
                <wp:simplePos x="0" y="0"/>
                <wp:positionH relativeFrom="column">
                  <wp:posOffset>5160620</wp:posOffset>
                </wp:positionH>
                <wp:positionV relativeFrom="paragraph">
                  <wp:posOffset>-544881</wp:posOffset>
                </wp:positionV>
                <wp:extent cx="1296538" cy="491319"/>
                <wp:effectExtent l="0" t="0" r="18415" b="23495"/>
                <wp:wrapNone/>
                <wp:docPr id="1" name="テキスト ボックス 1"/>
                <wp:cNvGraphicFramePr/>
                <a:graphic xmlns:a="http://schemas.openxmlformats.org/drawingml/2006/main">
                  <a:graphicData uri="http://schemas.microsoft.com/office/word/2010/wordprocessingShape">
                    <wps:wsp>
                      <wps:cNvSpPr txBox="1"/>
                      <wps:spPr>
                        <a:xfrm>
                          <a:off x="0" y="0"/>
                          <a:ext cx="1296538" cy="491319"/>
                        </a:xfrm>
                        <a:prstGeom prst="rect">
                          <a:avLst/>
                        </a:prstGeom>
                        <a:solidFill>
                          <a:schemeClr val="lt1"/>
                        </a:solidFill>
                        <a:ln w="6350">
                          <a:solidFill>
                            <a:prstClr val="black"/>
                          </a:solidFill>
                        </a:ln>
                      </wps:spPr>
                      <wps:txbx>
                        <w:txbxContent>
                          <w:p w:rsidR="00A81AF3" w:rsidRPr="00A81AF3" w:rsidRDefault="00A81AF3">
                            <w:pPr>
                              <w:rPr>
                                <w:sz w:val="40"/>
                                <w:szCs w:val="40"/>
                              </w:rPr>
                            </w:pPr>
                            <w:r w:rsidRPr="00A81AF3">
                              <w:rPr>
                                <w:rFonts w:hint="eastAsia"/>
                                <w:sz w:val="40"/>
                                <w:szCs w:val="40"/>
                              </w:rPr>
                              <w:t>資料</w:t>
                            </w:r>
                            <w:r w:rsidRPr="00A81AF3">
                              <w:rPr>
                                <w:sz w:val="40"/>
                                <w:szCs w:val="40"/>
                              </w:rPr>
                              <w:t xml:space="preserve">　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35pt;margin-top:-42.9pt;width:102.1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" fillcolor="white [3201]" strokeweight=".5pt">
                <v:textbox>
                  <w:txbxContent>
                    <w:p w:rsidR="00A81AF3" w:rsidRPr="00A81AF3" w:rsidRDefault="00A81AF3">
                      <w:pPr>
                        <w:rPr>
                          <w:sz w:val="40"/>
                          <w:szCs w:val="40"/>
                        </w:rPr>
                      </w:pPr>
                      <w:r w:rsidRPr="00A81AF3">
                        <w:rPr>
                          <w:rFonts w:hint="eastAsia"/>
                          <w:sz w:val="40"/>
                          <w:szCs w:val="40"/>
                        </w:rPr>
                        <w:t>資料</w:t>
                      </w:r>
                      <w:r w:rsidRPr="00A81AF3">
                        <w:rPr>
                          <w:sz w:val="40"/>
                          <w:szCs w:val="40"/>
                        </w:rPr>
                        <w:t xml:space="preserve">　４</w:t>
                      </w:r>
                    </w:p>
                  </w:txbxContent>
                </v:textbox>
              </v:shape>
            </w:pict>
          </mc:Fallback>
        </mc:AlternateContent>
      </w:r>
      <w:r w:rsidRPr="00D57758">
        <w:rPr>
          <w:rFonts w:cs="ＭＳ ゴシック" w:hint="eastAsia"/>
          <w:bCs/>
          <w:spacing w:val="4"/>
          <w:sz w:val="36"/>
          <w:szCs w:val="36"/>
        </w:rPr>
        <w:t>特定家庭用</w:t>
      </w:r>
      <w:r w:rsidR="00D57758" w:rsidRPr="00D57758">
        <w:rPr>
          <w:rFonts w:cs="ＭＳ ゴシック" w:hint="eastAsia"/>
          <w:bCs/>
          <w:spacing w:val="4"/>
          <w:sz w:val="36"/>
          <w:szCs w:val="36"/>
        </w:rPr>
        <w:t>機器</w:t>
      </w:r>
      <w:r w:rsidRPr="00D57758">
        <w:rPr>
          <w:rFonts w:cs="ＭＳ ゴシック" w:hint="eastAsia"/>
          <w:bCs/>
          <w:spacing w:val="4"/>
          <w:sz w:val="36"/>
          <w:szCs w:val="36"/>
        </w:rPr>
        <w:t>廃棄物の収集運搬許可につい</w:t>
      </w:r>
      <w:r w:rsidRPr="00A81AF3">
        <w:rPr>
          <w:rFonts w:cs="ＭＳ ゴシック" w:hint="eastAsia"/>
          <w:bCs/>
          <w:spacing w:val="4"/>
          <w:sz w:val="40"/>
          <w:szCs w:val="40"/>
        </w:rPr>
        <w:t>て</w:t>
      </w:r>
    </w:p>
    <w:p w:rsidR="00A81AF3" w:rsidRPr="0072218B" w:rsidRDefault="00A81AF3" w:rsidP="00A81AF3">
      <w:pPr>
        <w:rPr>
          <w:rFonts w:cs="ＭＳ ゴシック"/>
          <w:bCs/>
          <w:spacing w:val="4"/>
          <w:sz w:val="22"/>
          <w:szCs w:val="22"/>
        </w:rPr>
      </w:pPr>
    </w:p>
    <w:p w:rsidR="00A81AF3" w:rsidRPr="0072218B" w:rsidRDefault="00A81AF3" w:rsidP="00C7206D">
      <w:pPr>
        <w:ind w:firstLineChars="100" w:firstLine="228"/>
        <w:rPr>
          <w:rFonts w:cs="ＭＳ ゴシック"/>
          <w:bCs/>
          <w:spacing w:val="4"/>
          <w:sz w:val="22"/>
          <w:szCs w:val="22"/>
        </w:rPr>
      </w:pPr>
      <w:r w:rsidRPr="0072218B">
        <w:rPr>
          <w:rFonts w:cs="ＭＳ ゴシック" w:hint="eastAsia"/>
          <w:bCs/>
          <w:spacing w:val="4"/>
          <w:sz w:val="22"/>
          <w:szCs w:val="22"/>
        </w:rPr>
        <w:t>一般廃棄物収集運搬業（特定家庭用機器廃棄物）の許可</w:t>
      </w:r>
      <w:r w:rsidR="00C7206D">
        <w:rPr>
          <w:rFonts w:cs="ＭＳ ゴシック" w:hint="eastAsia"/>
          <w:bCs/>
          <w:spacing w:val="4"/>
          <w:sz w:val="22"/>
          <w:szCs w:val="22"/>
        </w:rPr>
        <w:t>では、一般家庭から</w:t>
      </w:r>
      <w:r w:rsidRPr="0072218B">
        <w:rPr>
          <w:rFonts w:cs="ＭＳ ゴシック" w:hint="eastAsia"/>
          <w:bCs/>
          <w:spacing w:val="4"/>
          <w:sz w:val="22"/>
          <w:szCs w:val="22"/>
        </w:rPr>
        <w:t>特定家電４品目の収集運搬</w:t>
      </w:r>
      <w:r w:rsidR="00C7206D">
        <w:rPr>
          <w:rFonts w:cs="ＭＳ ゴシック" w:hint="eastAsia"/>
          <w:bCs/>
          <w:spacing w:val="4"/>
          <w:sz w:val="22"/>
          <w:szCs w:val="22"/>
        </w:rPr>
        <w:t>ができます</w:t>
      </w:r>
      <w:r w:rsidRPr="0072218B">
        <w:rPr>
          <w:rFonts w:cs="ＭＳ ゴシック" w:hint="eastAsia"/>
          <w:bCs/>
          <w:spacing w:val="4"/>
          <w:sz w:val="22"/>
          <w:szCs w:val="22"/>
        </w:rPr>
        <w:t>。</w:t>
      </w:r>
    </w:p>
    <w:p w:rsidR="00C7206D" w:rsidRDefault="00A81AF3" w:rsidP="00C7206D">
      <w:pPr>
        <w:ind w:firstLineChars="100" w:firstLine="228"/>
        <w:rPr>
          <w:rFonts w:cs="ＭＳ ゴシック"/>
          <w:bCs/>
          <w:spacing w:val="4"/>
          <w:sz w:val="22"/>
          <w:szCs w:val="22"/>
        </w:rPr>
      </w:pPr>
      <w:r w:rsidRPr="0072218B">
        <w:rPr>
          <w:rFonts w:cs="ＭＳ ゴシック" w:hint="eastAsia"/>
          <w:bCs/>
          <w:spacing w:val="4"/>
          <w:sz w:val="22"/>
          <w:szCs w:val="22"/>
        </w:rPr>
        <w:t>事業所から</w:t>
      </w:r>
      <w:r w:rsidR="00C7206D">
        <w:rPr>
          <w:rFonts w:cs="ＭＳ ゴシック" w:hint="eastAsia"/>
          <w:bCs/>
          <w:spacing w:val="4"/>
          <w:sz w:val="22"/>
          <w:szCs w:val="22"/>
        </w:rPr>
        <w:t>排出される</w:t>
      </w:r>
      <w:r w:rsidRPr="0072218B">
        <w:rPr>
          <w:rFonts w:cs="ＭＳ ゴシック" w:hint="eastAsia"/>
          <w:bCs/>
          <w:spacing w:val="4"/>
          <w:sz w:val="22"/>
          <w:szCs w:val="22"/>
        </w:rPr>
        <w:t>特定家庭用機器廃棄物</w:t>
      </w:r>
      <w:r w:rsidR="00C7206D">
        <w:rPr>
          <w:rFonts w:cs="ＭＳ ゴシック" w:hint="eastAsia"/>
          <w:bCs/>
          <w:spacing w:val="4"/>
          <w:sz w:val="22"/>
          <w:szCs w:val="22"/>
        </w:rPr>
        <w:t>は産業廃棄物となりますので、</w:t>
      </w:r>
      <w:r w:rsidRPr="0072218B">
        <w:rPr>
          <w:rFonts w:cs="ＭＳ ゴシック" w:hint="eastAsia"/>
          <w:bCs/>
          <w:spacing w:val="4"/>
          <w:sz w:val="22"/>
          <w:szCs w:val="22"/>
        </w:rPr>
        <w:t>産業廃棄物収集運搬業の廃プラスチック類、金属くず、ガラスくず及び陶磁器くずの許可が必要になります。</w:t>
      </w:r>
    </w:p>
    <w:p w:rsidR="00A81AF3" w:rsidRDefault="00A81AF3" w:rsidP="00C7206D">
      <w:pPr>
        <w:ind w:firstLineChars="100" w:firstLine="228"/>
      </w:pPr>
      <w:r w:rsidRPr="0072218B">
        <w:rPr>
          <w:rFonts w:cs="ＭＳ ゴシック" w:hint="eastAsia"/>
          <w:bCs/>
          <w:spacing w:val="4"/>
          <w:sz w:val="22"/>
          <w:szCs w:val="22"/>
        </w:rPr>
        <w:t>ただし、</w:t>
      </w:r>
      <w:r w:rsidR="00C7206D">
        <w:rPr>
          <w:rFonts w:cs="ＭＳ ゴシック" w:hint="eastAsia"/>
          <w:b/>
          <w:bCs/>
          <w:spacing w:val="4"/>
          <w:sz w:val="22"/>
          <w:szCs w:val="22"/>
          <w:u w:val="single"/>
        </w:rPr>
        <w:t>小売業者からの収集運搬の委託をうけた場合に限り</w:t>
      </w:r>
      <w:r w:rsidRPr="0072218B">
        <w:rPr>
          <w:rFonts w:cs="ＭＳ ゴシック" w:hint="eastAsia"/>
          <w:bCs/>
          <w:spacing w:val="4"/>
          <w:sz w:val="22"/>
          <w:szCs w:val="22"/>
        </w:rPr>
        <w:t>、一般廃棄物の許可を用いて事業所から運ぶことが</w:t>
      </w:r>
      <w:r>
        <w:rPr>
          <w:rFonts w:cs="ＭＳ ゴシック" w:hint="eastAsia"/>
          <w:bCs/>
          <w:spacing w:val="4"/>
          <w:sz w:val="22"/>
          <w:szCs w:val="22"/>
        </w:rPr>
        <w:t>できます。（特定家庭用機器再商品化法第５０条</w:t>
      </w:r>
      <w:r>
        <w:rPr>
          <w:rFonts w:hint="eastAsia"/>
        </w:rPr>
        <w:t>（一般廃棄物処理業者等に係る廃棄物処理法の特例）</w:t>
      </w:r>
    </w:p>
    <w:p w:rsidR="00A81AF3" w:rsidRPr="0072218B" w:rsidRDefault="00C7206D" w:rsidP="00C7206D">
      <w:pPr>
        <w:ind w:firstLineChars="100" w:firstLine="228"/>
        <w:rPr>
          <w:rFonts w:cs="ＭＳ ゴシック"/>
          <w:bCs/>
          <w:spacing w:val="4"/>
          <w:sz w:val="22"/>
          <w:szCs w:val="22"/>
        </w:rPr>
      </w:pPr>
      <w:r>
        <w:rPr>
          <w:rFonts w:cs="ＭＳ ゴシック" w:hint="eastAsia"/>
          <w:bCs/>
          <w:spacing w:val="4"/>
          <w:sz w:val="22"/>
          <w:szCs w:val="22"/>
        </w:rPr>
        <w:t>ここで</w:t>
      </w:r>
      <w:r w:rsidR="00A81AF3" w:rsidRPr="0072218B">
        <w:rPr>
          <w:rFonts w:cs="ＭＳ ゴシック" w:hint="eastAsia"/>
          <w:bCs/>
          <w:spacing w:val="4"/>
          <w:sz w:val="22"/>
          <w:szCs w:val="22"/>
        </w:rPr>
        <w:t>重要なのが、</w:t>
      </w:r>
      <w:r w:rsidR="00A81AF3" w:rsidRPr="00A81AF3">
        <w:rPr>
          <w:rFonts w:cs="ＭＳ ゴシック" w:hint="eastAsia"/>
          <w:b/>
          <w:bCs/>
          <w:spacing w:val="4"/>
          <w:sz w:val="22"/>
          <w:szCs w:val="22"/>
          <w:u w:val="single"/>
        </w:rPr>
        <w:t>小売業者（特定家電の販売を行うもの）から収集運搬の委託を受けている場合に限る</w:t>
      </w:r>
      <w:r w:rsidR="00A81AF3" w:rsidRPr="0072218B">
        <w:rPr>
          <w:rFonts w:cs="ＭＳ ゴシック" w:hint="eastAsia"/>
          <w:b/>
          <w:bCs/>
          <w:spacing w:val="4"/>
          <w:sz w:val="22"/>
          <w:szCs w:val="22"/>
        </w:rPr>
        <w:t>点</w:t>
      </w:r>
      <w:r w:rsidR="00A81AF3" w:rsidRPr="0072218B">
        <w:rPr>
          <w:rFonts w:cs="ＭＳ ゴシック" w:hint="eastAsia"/>
          <w:bCs/>
          <w:spacing w:val="4"/>
          <w:sz w:val="22"/>
          <w:szCs w:val="22"/>
        </w:rPr>
        <w:t>です。</w:t>
      </w:r>
    </w:p>
    <w:p w:rsidR="00A81AF3" w:rsidRPr="0072218B" w:rsidRDefault="00A81AF3" w:rsidP="00C7206D">
      <w:pPr>
        <w:ind w:firstLineChars="100" w:firstLine="228"/>
        <w:rPr>
          <w:rFonts w:cs="ＭＳ ゴシック"/>
          <w:bCs/>
          <w:spacing w:val="4"/>
          <w:sz w:val="22"/>
          <w:szCs w:val="22"/>
        </w:rPr>
      </w:pPr>
      <w:r w:rsidRPr="0072218B">
        <w:rPr>
          <w:rFonts w:cs="ＭＳ ゴシック" w:hint="eastAsia"/>
          <w:bCs/>
          <w:spacing w:val="4"/>
          <w:sz w:val="22"/>
          <w:szCs w:val="22"/>
        </w:rPr>
        <w:t>一般廃棄物収集運搬業（特定家庭用機器廃棄物）の許可で、小売業者からの委託を受けずに事業所から特定家庭用機器廃棄物を運ぶ行為は、産業廃棄物収集運搬業の許可なく運ぶ無許可営業となる可能性があります</w:t>
      </w:r>
      <w:r w:rsidR="00C7206D">
        <w:rPr>
          <w:rFonts w:cs="ＭＳ ゴシック" w:hint="eastAsia"/>
          <w:bCs/>
          <w:spacing w:val="4"/>
          <w:sz w:val="22"/>
          <w:szCs w:val="22"/>
        </w:rPr>
        <w:t>ので注意してください</w:t>
      </w:r>
      <w:r w:rsidRPr="0072218B">
        <w:rPr>
          <w:rFonts w:cs="ＭＳ ゴシック" w:hint="eastAsia"/>
          <w:bCs/>
          <w:spacing w:val="4"/>
          <w:sz w:val="22"/>
          <w:szCs w:val="22"/>
        </w:rPr>
        <w:t>。</w:t>
      </w:r>
    </w:p>
    <w:p w:rsidR="00A81AF3" w:rsidRDefault="00A81AF3"/>
    <w:p w:rsidR="00C7206D" w:rsidRDefault="00C7206D"/>
    <w:p w:rsidR="00A81AF3" w:rsidRPr="0072218B" w:rsidRDefault="00A81AF3" w:rsidP="00A81AF3">
      <w:pPr>
        <w:rPr>
          <w:rFonts w:cs="ＭＳ ゴシック"/>
          <w:bCs/>
          <w:spacing w:val="4"/>
          <w:sz w:val="22"/>
          <w:szCs w:val="22"/>
        </w:rPr>
      </w:pPr>
      <w:r>
        <w:rPr>
          <w:rFonts w:cs="ＭＳ ゴシック" w:hint="eastAsia"/>
          <w:bCs/>
          <w:spacing w:val="4"/>
          <w:sz w:val="22"/>
          <w:szCs w:val="22"/>
        </w:rPr>
        <w:t>特定家庭用機器再商品化法第５０条　（抜粋）</w:t>
      </w:r>
    </w:p>
    <w:p w:rsidR="00A81AF3" w:rsidRDefault="00A81AF3" w:rsidP="00A81AF3">
      <w:r>
        <w:rPr>
          <w:rFonts w:hint="eastAsia"/>
        </w:rPr>
        <w:t>（一般廃棄物処理業者等に係る廃棄物処理法の特例）</w:t>
      </w:r>
    </w:p>
    <w:p w:rsidR="00A81AF3" w:rsidRDefault="00A81AF3" w:rsidP="00A81AF3">
      <w:r>
        <w:rPr>
          <w:rFonts w:hint="eastAsia"/>
        </w:rPr>
        <w:t xml:space="preserve">第五十条　</w:t>
      </w:r>
      <w:r w:rsidRPr="00A81AF3">
        <w:rPr>
          <w:rFonts w:hint="eastAsia"/>
          <w:b/>
        </w:rPr>
        <w:t>産業廃棄物収集運搬業者</w:t>
      </w:r>
      <w:r>
        <w:rPr>
          <w:rFonts w:hint="eastAsia"/>
        </w:rPr>
        <w:t>（</w:t>
      </w:r>
      <w:r w:rsidRPr="00A81AF3">
        <w:rPr>
          <w:rFonts w:hint="eastAsia"/>
          <w:b/>
          <w:u w:val="single"/>
        </w:rPr>
        <w:t>小売業者の委託を受けて</w:t>
      </w:r>
      <w:r>
        <w:rPr>
          <w:rFonts w:hint="eastAsia"/>
        </w:rPr>
        <w:t>特定家庭用機器廃棄物（産業廃棄物であるものに限る。以下「特定家庭用機器産業廃棄物」という。）の収集又は運搬を業として行う者に限る。）は、</w:t>
      </w:r>
      <w:r w:rsidRPr="00A81AF3">
        <w:rPr>
          <w:rFonts w:hint="eastAsia"/>
          <w:b/>
          <w:u w:val="single"/>
        </w:rPr>
        <w:t>廃棄物処理法第七条第一項の規定にかかわらず</w:t>
      </w:r>
      <w:r>
        <w:rPr>
          <w:rFonts w:hint="eastAsia"/>
        </w:rPr>
        <w:t>、環境省令で定めるところにより、特定家庭用機器廃棄物（</w:t>
      </w:r>
      <w:r w:rsidRPr="00A81AF3">
        <w:rPr>
          <w:rFonts w:hint="eastAsia"/>
        </w:rPr>
        <w:t>一般廃棄物</w:t>
      </w:r>
      <w:r>
        <w:rPr>
          <w:rFonts w:hint="eastAsia"/>
        </w:rPr>
        <w:t>であるものに限る。以下「</w:t>
      </w:r>
      <w:r w:rsidRPr="00A81AF3">
        <w:rPr>
          <w:rFonts w:hint="eastAsia"/>
          <w:b/>
        </w:rPr>
        <w:t>特定家庭用機器一般廃棄物</w:t>
      </w:r>
      <w:r>
        <w:rPr>
          <w:rFonts w:hint="eastAsia"/>
        </w:rPr>
        <w:t>」という。）</w:t>
      </w:r>
      <w:r w:rsidRPr="00A81AF3">
        <w:rPr>
          <w:rFonts w:hint="eastAsia"/>
          <w:b/>
        </w:rPr>
        <w:t>の収集又は運搬の業を行うことができる。</w:t>
      </w:r>
      <w:r>
        <w:rPr>
          <w:rFonts w:hint="eastAsia"/>
        </w:rPr>
        <w:t>この場合において、その者は、廃棄物処理法第六条の二第二項に規定する一般廃棄物処理基準に従い、特定家庭用機器一般廃棄物の収集又は運搬を行わなければならない。</w:t>
      </w:r>
    </w:p>
    <w:p w:rsidR="00A81AF3" w:rsidRDefault="00A81AF3" w:rsidP="00A81AF3">
      <w:r>
        <w:rPr>
          <w:rFonts w:hint="eastAsia"/>
        </w:rPr>
        <w:t>２　廃棄物処理法第七条第一項の許可を受けた者が行う収集及び運搬並びに同条第六項の許可を受けた者が行う処分であって特定家庭用機器一般廃棄物に係るものについては、同条第十二項の規定は、適用しない。</w:t>
      </w:r>
    </w:p>
    <w:p w:rsidR="00A81AF3" w:rsidRDefault="00A81AF3" w:rsidP="00A81AF3">
      <w:r>
        <w:rPr>
          <w:rFonts w:hint="eastAsia"/>
        </w:rPr>
        <w:t>３　廃棄物処理法第十二条第五項、第十二条の三第一項及び第十二条の五第一項の規定は、事業者が、その特定家庭用機器産業廃棄物を小売業者、第二十三条第一項の認定を受けた製造業者等又は指定法人に引き渡す場合における当該引渡しに係る当該特定家庭用機器産業廃棄物の収集若しくは運搬又は処分の委託（産業廃棄物収集運搬業者又は産業廃棄物処分業者に対するものを除く。）については、適用しない。</w:t>
      </w:r>
    </w:p>
    <w:p w:rsidR="00A81AF3" w:rsidRPr="00A81AF3" w:rsidRDefault="00A81AF3" w:rsidP="00A81AF3">
      <w:r>
        <w:rPr>
          <w:rFonts w:hint="eastAsia"/>
        </w:rPr>
        <w:t xml:space="preserve">４　</w:t>
      </w:r>
      <w:r w:rsidRPr="00A81AF3">
        <w:rPr>
          <w:rFonts w:hint="eastAsia"/>
          <w:b/>
        </w:rPr>
        <w:t>一般廃棄物収集運搬業者</w:t>
      </w:r>
      <w:r>
        <w:rPr>
          <w:rFonts w:hint="eastAsia"/>
        </w:rPr>
        <w:t>（</w:t>
      </w:r>
      <w:r w:rsidRPr="00A81AF3">
        <w:rPr>
          <w:rFonts w:hint="eastAsia"/>
          <w:b/>
          <w:u w:val="single"/>
        </w:rPr>
        <w:t>小売業者の委託を受けて</w:t>
      </w:r>
      <w:r>
        <w:rPr>
          <w:rFonts w:hint="eastAsia"/>
        </w:rPr>
        <w:t>特定家庭用機器一般廃棄物の収集又は運搬を業として行う者に限る。）は、</w:t>
      </w:r>
      <w:r w:rsidRPr="00A81AF3">
        <w:rPr>
          <w:rFonts w:hint="eastAsia"/>
          <w:b/>
          <w:u w:val="single"/>
        </w:rPr>
        <w:t>廃棄物処理法第十四条第一項の規定にかかわらず</w:t>
      </w:r>
      <w:r>
        <w:rPr>
          <w:rFonts w:hint="eastAsia"/>
        </w:rPr>
        <w:t>、環境省令で定めるところにより、</w:t>
      </w:r>
      <w:r w:rsidRPr="00A81AF3">
        <w:rPr>
          <w:rFonts w:hint="eastAsia"/>
          <w:b/>
        </w:rPr>
        <w:t>特定家庭用機器産業廃棄物</w:t>
      </w:r>
      <w:r>
        <w:rPr>
          <w:rFonts w:hint="eastAsia"/>
        </w:rPr>
        <w:t>の</w:t>
      </w:r>
      <w:r w:rsidRPr="00A81AF3">
        <w:rPr>
          <w:rFonts w:hint="eastAsia"/>
          <w:b/>
        </w:rPr>
        <w:t>収集又は運搬の業を行うことができる。</w:t>
      </w:r>
      <w:r>
        <w:rPr>
          <w:rFonts w:hint="eastAsia"/>
        </w:rPr>
        <w:t>この場合において、その者は、廃棄物処理法第十二条第一項に規定する産業廃棄物処理基準に従い、特定家庭用機器産業廃棄物の収集又は運搬を行わなければならない。</w:t>
      </w:r>
    </w:p>
    <w:sectPr w:rsidR="00A81AF3" w:rsidRPr="00A81AF3" w:rsidSect="00C720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88" w:rsidRDefault="00444988" w:rsidP="00444988">
      <w:r>
        <w:separator/>
      </w:r>
    </w:p>
  </w:endnote>
  <w:endnote w:type="continuationSeparator" w:id="0">
    <w:p w:rsidR="00444988" w:rsidRDefault="00444988" w:rsidP="0044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88" w:rsidRDefault="00444988" w:rsidP="00444988">
      <w:r>
        <w:separator/>
      </w:r>
    </w:p>
  </w:footnote>
  <w:footnote w:type="continuationSeparator" w:id="0">
    <w:p w:rsidR="00444988" w:rsidRDefault="00444988" w:rsidP="0044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F3"/>
    <w:rsid w:val="003A3148"/>
    <w:rsid w:val="00444988"/>
    <w:rsid w:val="00794C57"/>
    <w:rsid w:val="00A81AF3"/>
    <w:rsid w:val="00C7206D"/>
    <w:rsid w:val="00D57758"/>
    <w:rsid w:val="00D8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818DDC-6593-4453-B3B1-8FAE9C6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AF3"/>
    <w:pPr>
      <w:widowControl w:val="0"/>
      <w:autoSpaceDE w:val="0"/>
      <w:autoSpaceDN w:val="0"/>
      <w:adjustRightInd w:val="0"/>
      <w:textAlignment w:val="baseline"/>
    </w:pPr>
    <w:rPr>
      <w:rFonts w:ascii="Arial" w:eastAsia="ＭＳ ゴシック"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988"/>
    <w:pPr>
      <w:tabs>
        <w:tab w:val="center" w:pos="4252"/>
        <w:tab w:val="right" w:pos="8504"/>
      </w:tabs>
      <w:snapToGrid w:val="0"/>
    </w:pPr>
  </w:style>
  <w:style w:type="character" w:customStyle="1" w:styleId="a4">
    <w:name w:val="ヘッダー (文字)"/>
    <w:basedOn w:val="a0"/>
    <w:link w:val="a3"/>
    <w:uiPriority w:val="99"/>
    <w:rsid w:val="00444988"/>
    <w:rPr>
      <w:rFonts w:ascii="Arial" w:eastAsia="ＭＳ ゴシック" w:hAnsi="Arial" w:cs="Arial"/>
      <w:color w:val="000000"/>
      <w:kern w:val="0"/>
      <w:szCs w:val="21"/>
    </w:rPr>
  </w:style>
  <w:style w:type="paragraph" w:styleId="a5">
    <w:name w:val="footer"/>
    <w:basedOn w:val="a"/>
    <w:link w:val="a6"/>
    <w:uiPriority w:val="99"/>
    <w:unhideWhenUsed/>
    <w:rsid w:val="00444988"/>
    <w:pPr>
      <w:tabs>
        <w:tab w:val="center" w:pos="4252"/>
        <w:tab w:val="right" w:pos="8504"/>
      </w:tabs>
      <w:snapToGrid w:val="0"/>
    </w:pPr>
  </w:style>
  <w:style w:type="character" w:customStyle="1" w:styleId="a6">
    <w:name w:val="フッター (文字)"/>
    <w:basedOn w:val="a0"/>
    <w:link w:val="a5"/>
    <w:uiPriority w:val="99"/>
    <w:rsid w:val="00444988"/>
    <w:rPr>
      <w:rFonts w:ascii="Arial" w:eastAsia="ＭＳ ゴシック" w:hAnsi="Arial" w:cs="Arial"/>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2021-03-16T00:48:00Z</cp:lastPrinted>
  <dcterms:created xsi:type="dcterms:W3CDTF">2021-03-23T04:37:00Z</dcterms:created>
  <dcterms:modified xsi:type="dcterms:W3CDTF">2021-03-23T04:37:00Z</dcterms:modified>
</cp:coreProperties>
</file>